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CC846" w14:textId="003D7067" w:rsidR="00735207" w:rsidRDefault="007B0349">
      <w:pPr>
        <w:rPr>
          <w:rFonts w:ascii="Open Sans" w:hAnsi="Open Sans"/>
          <w:color w:val="414141"/>
          <w:spacing w:val="2"/>
          <w:sz w:val="20"/>
          <w:szCs w:val="20"/>
          <w:shd w:val="clear" w:color="auto" w:fill="FFFFFF"/>
        </w:rPr>
      </w:pPr>
      <w:r>
        <w:rPr>
          <w:rFonts w:ascii="Open Sans" w:hAnsi="Open Sans"/>
          <w:color w:val="414141"/>
          <w:spacing w:val="2"/>
          <w:sz w:val="20"/>
          <w:szCs w:val="20"/>
          <w:shd w:val="clear" w:color="auto" w:fill="FFFFFF"/>
        </w:rPr>
        <w:t>Read the Chapter 16 Case: "The Anatomy of a Spin-Off - Northrop Grumman Exits the Shipbuilding Business" and the Chapter 18 Case: "Ireland-Based Drug Maker Actavis Buys U.S. Pharmaceuticals Firm Forest Labs" in the textbook and respond to the questions related to each case using a minimum of 750 words.</w:t>
      </w:r>
    </w:p>
    <w:p w14:paraId="500DC8ED" w14:textId="3E3056A8" w:rsidR="007B0349" w:rsidRDefault="007B0349">
      <w:r w:rsidRPr="007B0349">
        <w:drawing>
          <wp:inline distT="0" distB="0" distL="0" distR="0" wp14:anchorId="22D6557D" wp14:editId="282568C0">
            <wp:extent cx="5943600" cy="2872105"/>
            <wp:effectExtent l="0" t="0" r="0" b="444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93AC1" w14:textId="5A88F64B" w:rsidR="007B0349" w:rsidRDefault="007B0349">
      <w:r w:rsidRPr="007B0349">
        <w:drawing>
          <wp:inline distT="0" distB="0" distL="0" distR="0" wp14:anchorId="4344E8F3" wp14:editId="2B9DA9D4">
            <wp:extent cx="5943600" cy="2834640"/>
            <wp:effectExtent l="0" t="0" r="0" b="381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D71A3" w14:textId="4E92D201" w:rsidR="007B0349" w:rsidRDefault="007B0349">
      <w:r w:rsidRPr="007B0349">
        <w:lastRenderedPageBreak/>
        <w:drawing>
          <wp:inline distT="0" distB="0" distL="0" distR="0" wp14:anchorId="44271AC8" wp14:editId="0B4E1BF2">
            <wp:extent cx="5943600" cy="3190240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F47F4" w14:textId="170B1187" w:rsidR="007B0349" w:rsidRDefault="007B0349">
      <w:r w:rsidRPr="007B0349">
        <w:drawing>
          <wp:inline distT="0" distB="0" distL="0" distR="0" wp14:anchorId="084F12E4" wp14:editId="3599C54F">
            <wp:extent cx="5943600" cy="2535555"/>
            <wp:effectExtent l="0" t="0" r="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56A84" w14:textId="4F523BDF" w:rsidR="007B0349" w:rsidRDefault="007B0349">
      <w:r w:rsidRPr="007B0349">
        <w:drawing>
          <wp:inline distT="0" distB="0" distL="0" distR="0" wp14:anchorId="111CB461" wp14:editId="02261A71">
            <wp:extent cx="5943600" cy="1209675"/>
            <wp:effectExtent l="0" t="0" r="0" b="9525"/>
            <wp:docPr id="5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FB474" w14:textId="553AFE47" w:rsidR="007D1298" w:rsidRDefault="007D1298">
      <w:r w:rsidRPr="007D1298">
        <w:lastRenderedPageBreak/>
        <w:drawing>
          <wp:inline distT="0" distB="0" distL="0" distR="0" wp14:anchorId="4D0EF9ED" wp14:editId="40494077">
            <wp:extent cx="5943600" cy="2808605"/>
            <wp:effectExtent l="0" t="0" r="0" b="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9DCF5" w14:textId="3DF1F98B" w:rsidR="007D1298" w:rsidRDefault="007D1298">
      <w:r w:rsidRPr="007D1298">
        <w:drawing>
          <wp:inline distT="0" distB="0" distL="0" distR="0" wp14:anchorId="624C2731" wp14:editId="05844259">
            <wp:extent cx="5943600" cy="2091055"/>
            <wp:effectExtent l="0" t="0" r="0" b="4445"/>
            <wp:docPr id="7" name="Picture 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, let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F1F98" w14:textId="6CFEA43E" w:rsidR="007D1298" w:rsidRDefault="007D1298">
      <w:r w:rsidRPr="007D1298">
        <w:drawing>
          <wp:inline distT="0" distB="0" distL="0" distR="0" wp14:anchorId="0DC5B49A" wp14:editId="6A6CDA46">
            <wp:extent cx="5943600" cy="2797810"/>
            <wp:effectExtent l="0" t="0" r="0" b="2540"/>
            <wp:docPr id="8" name="Picture 8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FBF2D" w14:textId="4862D680" w:rsidR="007D1298" w:rsidRDefault="007D1298"/>
    <w:p w14:paraId="12CBB69B" w14:textId="1981F151" w:rsidR="007D1298" w:rsidRDefault="007D1298">
      <w:pPr>
        <w:rPr>
          <w:rStyle w:val="awspan"/>
          <w:color w:val="000000"/>
          <w:bdr w:val="none" w:sz="0" w:space="0" w:color="auto" w:frame="1"/>
          <w:shd w:val="clear" w:color="auto" w:fill="FFFFFF"/>
        </w:rPr>
      </w:pPr>
      <w:r>
        <w:rPr>
          <w:rStyle w:val="awspan"/>
          <w:color w:val="000000"/>
          <w:bdr w:val="none" w:sz="0" w:space="0" w:color="auto" w:frame="1"/>
          <w:shd w:val="clear" w:color="auto" w:fill="FFFFFF"/>
        </w:rPr>
        <w:lastRenderedPageBreak/>
        <w:t xml:space="preserve">Baker, M., </w:t>
      </w:r>
      <w:proofErr w:type="spellStart"/>
      <w:r>
        <w:rPr>
          <w:rStyle w:val="awspan"/>
          <w:color w:val="000000"/>
          <w:bdr w:val="none" w:sz="0" w:space="0" w:color="auto" w:frame="1"/>
          <w:shd w:val="clear" w:color="auto" w:fill="FFFFFF"/>
        </w:rPr>
        <w:t>Coval</w:t>
      </w:r>
      <w:proofErr w:type="spellEnd"/>
      <w:r>
        <w:rPr>
          <w:rStyle w:val="awspan"/>
          <w:color w:val="000000"/>
          <w:bdr w:val="none" w:sz="0" w:space="0" w:color="auto" w:frame="1"/>
          <w:shd w:val="clear" w:color="auto" w:fill="FFFFFF"/>
        </w:rPr>
        <w:t>, J., &amp; Stein, J. C. (2007). Corporate financing decisions when investors take the path of least resistance. Journal of Financial Economics, 84(2), 266-298</w:t>
      </w:r>
    </w:p>
    <w:p w14:paraId="29136EFE" w14:textId="7F8B655B" w:rsidR="00A023B7" w:rsidRDefault="00A023B7">
      <w:proofErr w:type="spellStart"/>
      <w:r>
        <w:rPr>
          <w:rFonts w:ascii="Open Sans" w:hAnsi="Open Sans" w:cs="Open Sans"/>
          <w:color w:val="414141"/>
          <w:spacing w:val="2"/>
          <w:sz w:val="21"/>
          <w:szCs w:val="21"/>
          <w:shd w:val="clear" w:color="auto" w:fill="FFFFFF"/>
        </w:rPr>
        <w:t>DePamphilis</w:t>
      </w:r>
      <w:proofErr w:type="spellEnd"/>
      <w:r>
        <w:rPr>
          <w:rFonts w:ascii="Open Sans" w:hAnsi="Open Sans" w:cs="Open Sans"/>
          <w:color w:val="414141"/>
          <w:spacing w:val="2"/>
          <w:sz w:val="21"/>
          <w:szCs w:val="21"/>
          <w:shd w:val="clear" w:color="auto" w:fill="FFFFFF"/>
        </w:rPr>
        <w:t>, D. (2015). </w:t>
      </w:r>
      <w:r>
        <w:rPr>
          <w:rStyle w:val="Emphasis"/>
          <w:rFonts w:ascii="Open Sans" w:hAnsi="Open Sans" w:cs="Open Sans"/>
          <w:color w:val="414141"/>
          <w:spacing w:val="2"/>
          <w:sz w:val="21"/>
          <w:szCs w:val="21"/>
          <w:bdr w:val="none" w:sz="0" w:space="0" w:color="auto" w:frame="1"/>
          <w:shd w:val="clear" w:color="auto" w:fill="FFFFFF"/>
        </w:rPr>
        <w:t>Mergers, acquisitions, and other restructuring activities</w:t>
      </w:r>
      <w:r>
        <w:rPr>
          <w:rFonts w:ascii="Open Sans" w:hAnsi="Open Sans" w:cs="Open Sans"/>
          <w:color w:val="414141"/>
          <w:spacing w:val="2"/>
          <w:sz w:val="21"/>
          <w:szCs w:val="21"/>
          <w:shd w:val="clear" w:color="auto" w:fill="FFFFFF"/>
        </w:rPr>
        <w:t> (8th ed.). New York, NY: Elsevier Academic Press. ISBN-13: 9780128013908</w:t>
      </w:r>
      <w:r w:rsidR="00951266">
        <w:rPr>
          <w:rFonts w:ascii="Open Sans" w:hAnsi="Open Sans" w:cs="Open Sans"/>
          <w:color w:val="414141"/>
          <w:spacing w:val="2"/>
          <w:sz w:val="21"/>
          <w:szCs w:val="21"/>
          <w:shd w:val="clear" w:color="auto" w:fill="FFFFFF"/>
        </w:rPr>
        <w:t xml:space="preserve"> </w:t>
      </w:r>
    </w:p>
    <w:sectPr w:rsidR="00A02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349"/>
    <w:rsid w:val="00066ED7"/>
    <w:rsid w:val="00720DBC"/>
    <w:rsid w:val="007B0349"/>
    <w:rsid w:val="007D1298"/>
    <w:rsid w:val="00951266"/>
    <w:rsid w:val="00A023B7"/>
    <w:rsid w:val="00C4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37FFD"/>
  <w15:chartTrackingRefBased/>
  <w15:docId w15:val="{D48218D2-600B-4B1F-82E0-8A79DEDB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wspan">
    <w:name w:val="awspan"/>
    <w:basedOn w:val="DefaultParagraphFont"/>
    <w:rsid w:val="007D1298"/>
  </w:style>
  <w:style w:type="character" w:styleId="Emphasis">
    <w:name w:val="Emphasis"/>
    <w:basedOn w:val="DefaultParagraphFont"/>
    <w:uiPriority w:val="20"/>
    <w:qFormat/>
    <w:rsid w:val="00A023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2613</TotalTime>
  <Pages>4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Blom</dc:creator>
  <cp:keywords/>
  <dc:description/>
  <cp:lastModifiedBy>Romy Blom</cp:lastModifiedBy>
  <cp:revision>1</cp:revision>
  <dcterms:created xsi:type="dcterms:W3CDTF">2021-11-08T02:18:00Z</dcterms:created>
  <dcterms:modified xsi:type="dcterms:W3CDTF">2021-11-09T21:54:00Z</dcterms:modified>
</cp:coreProperties>
</file>